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01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20401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BE48FA" w:rsidRPr="000929A9" w:rsidRDefault="00A20401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A20401" w:rsidRDefault="00A913B6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A20401" w:rsidRDefault="00A20401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A2040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вета </w:t>
      </w:r>
      <w:proofErr w:type="spellStart"/>
      <w:r w:rsidR="00A20401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обла</w:t>
      </w:r>
      <w:r w:rsidR="00A20401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A20401" w:rsidRPr="00946696" w:rsidRDefault="00BE48FA" w:rsidP="00A204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1.3.1. Информация о месте нахождения и графике работы органа местн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о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го самоуправления непосредственно предоставляющего муниципальную услугу, организаций, участвующих в предоставлении муниципальной усл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у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ги, а также многофункционального центра предоставления государстве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н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ных и муниципальных услуг.</w:t>
      </w:r>
    </w:p>
    <w:p w:rsidR="00A20401" w:rsidRPr="00946696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Администрация </w:t>
      </w:r>
      <w:proofErr w:type="spellStart"/>
      <w:r w:rsidR="00A913B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Платавского</w:t>
      </w:r>
      <w:proofErr w:type="spellEnd"/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сельсовета</w:t>
      </w:r>
      <w:r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:</w:t>
      </w:r>
    </w:p>
    <w:p w:rsidR="00A20401" w:rsidRDefault="00A913B6" w:rsidP="00A204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307633</w:t>
      </w:r>
      <w:r w:rsidR="00A2040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, Курская область, </w:t>
      </w:r>
      <w:proofErr w:type="spellStart"/>
      <w:r w:rsidR="00A2040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Конышевский</w:t>
      </w:r>
      <w:proofErr w:type="spellEnd"/>
      <w:r w:rsidR="00A2040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район,</w:t>
      </w:r>
      <w:r w:rsidR="00A2040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д</w:t>
      </w:r>
      <w:proofErr w:type="gramStart"/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.К</w:t>
      </w:r>
      <w:proofErr w:type="gramEnd"/>
      <w:r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ашара</w:t>
      </w:r>
      <w:proofErr w:type="spellEnd"/>
    </w:p>
    <w:p w:rsidR="00A20401" w:rsidRPr="0072050E" w:rsidRDefault="00A20401" w:rsidP="00A20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050E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20401" w:rsidRPr="0072050E" w:rsidRDefault="00A20401" w:rsidP="00A20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      Прием, а также консультирование по вопросам, связанным с предоста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в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лением муниципальной услуги осуществляется по рабочим дням в соо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т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ветствии с графиком (режимом работы).</w:t>
      </w: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Филиал ОБУ «МФЦ» </w:t>
      </w:r>
      <w:proofErr w:type="spellStart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Конышевского</w:t>
      </w:r>
      <w:proofErr w:type="spellEnd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  района 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(далее - МФЦ)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: </w:t>
      </w: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Курская область, </w:t>
      </w:r>
      <w:proofErr w:type="spellStart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Конышевский</w:t>
      </w:r>
      <w:proofErr w:type="spellEnd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 район, </w:t>
      </w:r>
      <w:proofErr w:type="spellStart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п</w:t>
      </w:r>
      <w:proofErr w:type="gramStart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.К</w:t>
      </w:r>
      <w:proofErr w:type="gramEnd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онышевка</w:t>
      </w:r>
      <w:proofErr w:type="spellEnd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, ул. Ленина, д.19.</w:t>
      </w:r>
    </w:p>
    <w:p w:rsidR="00A20401" w:rsidRPr="0072050E" w:rsidRDefault="00A20401" w:rsidP="00A20401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A20401" w:rsidRPr="0072050E" w:rsidRDefault="00A20401" w:rsidP="00A204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 xml:space="preserve"> </w:t>
      </w:r>
      <w:r w:rsidRPr="0072050E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 9.00 до 18.00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  <w:tr w:rsidR="00A20401" w:rsidRPr="0072050E" w:rsidTr="00A913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401" w:rsidRPr="0072050E" w:rsidRDefault="00A20401" w:rsidP="00A913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01" w:rsidRPr="0072050E" w:rsidRDefault="00A20401" w:rsidP="00A913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E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</w:tbl>
    <w:p w:rsidR="00A20401" w:rsidRPr="0072050E" w:rsidRDefault="00A20401" w:rsidP="00A20401">
      <w:pPr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1.3.2 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Справочные телефоны органа местного самоуправления осущест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в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ляющего непосредственное  предоставление муниципальной услуги, орг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а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низаций, участвующих в предоставлении муниципальной услуги.</w:t>
      </w: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Телефон Администрации </w:t>
      </w:r>
      <w:proofErr w:type="spellStart"/>
      <w:r w:rsidR="00A913B6">
        <w:rPr>
          <w:rFonts w:ascii="Times New Roman" w:eastAsia="Arial" w:hAnsi="Times New Roman" w:cs="Times New Roman"/>
          <w:kern w:val="2"/>
          <w:sz w:val="28"/>
          <w:szCs w:val="28"/>
        </w:rPr>
        <w:t>Платавского</w:t>
      </w:r>
      <w:proofErr w:type="spellEnd"/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 сельсовета: </w:t>
      </w:r>
      <w:r w:rsidRPr="0072050E">
        <w:rPr>
          <w:rFonts w:ascii="Times New Roman" w:hAnsi="Times New Roman" w:cs="Times New Roman"/>
          <w:sz w:val="28"/>
          <w:szCs w:val="28"/>
        </w:rPr>
        <w:t xml:space="preserve">8 (47156) </w:t>
      </w:r>
      <w:r w:rsidR="00A913B6">
        <w:rPr>
          <w:rFonts w:ascii="Times New Roman" w:hAnsi="Times New Roman" w:cs="Times New Roman"/>
          <w:sz w:val="28"/>
          <w:szCs w:val="28"/>
        </w:rPr>
        <w:t>31-3-33</w:t>
      </w:r>
      <w:r w:rsidRPr="0072050E">
        <w:rPr>
          <w:rFonts w:ascii="Times New Roman" w:hAnsi="Times New Roman" w:cs="Times New Roman"/>
          <w:sz w:val="28"/>
          <w:szCs w:val="28"/>
        </w:rPr>
        <w:t>;</w:t>
      </w:r>
    </w:p>
    <w:p w:rsidR="00A20401" w:rsidRPr="0072050E" w:rsidRDefault="00A20401" w:rsidP="00A20401">
      <w:pPr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 xml:space="preserve">Справочные  телефоны 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МФЦ</w:t>
      </w:r>
      <w:r w:rsidRPr="0072050E">
        <w:rPr>
          <w:rFonts w:ascii="Times New Roman" w:eastAsia="Arial" w:hAnsi="Times New Roman" w:cs="Times New Roman"/>
          <w:kern w:val="2"/>
          <w:sz w:val="28"/>
          <w:szCs w:val="28"/>
        </w:rPr>
        <w:t>:</w:t>
      </w:r>
      <w:r w:rsidRPr="0072050E">
        <w:rPr>
          <w:rFonts w:ascii="Times New Roman" w:hAnsi="Times New Roman" w:cs="Times New Roman"/>
          <w:sz w:val="28"/>
          <w:szCs w:val="28"/>
        </w:rPr>
        <w:t xml:space="preserve"> 8 (47156) 2-30-39</w:t>
      </w:r>
    </w:p>
    <w:p w:rsidR="00A20401" w:rsidRPr="0072050E" w:rsidRDefault="00A20401" w:rsidP="00A204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Pr="0072050E">
        <w:rPr>
          <w:rFonts w:ascii="Times New Roman" w:hAnsi="Times New Roman" w:cs="Times New Roman"/>
          <w:sz w:val="28"/>
          <w:szCs w:val="28"/>
        </w:rPr>
        <w:t xml:space="preserve">Информация об ответственных и </w:t>
      </w:r>
      <w:proofErr w:type="gramStart"/>
      <w:r w:rsidRPr="0072050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2050E">
        <w:rPr>
          <w:rFonts w:ascii="Times New Roman" w:hAnsi="Times New Roman" w:cs="Times New Roman"/>
          <w:sz w:val="28"/>
          <w:szCs w:val="28"/>
        </w:rPr>
        <w:t xml:space="preserve"> предоставления мун</w:t>
      </w:r>
      <w:r w:rsidRPr="0072050E">
        <w:rPr>
          <w:rFonts w:ascii="Times New Roman" w:hAnsi="Times New Roman" w:cs="Times New Roman"/>
          <w:sz w:val="28"/>
          <w:szCs w:val="28"/>
        </w:rPr>
        <w:t>и</w:t>
      </w:r>
      <w:r w:rsidRPr="0072050E">
        <w:rPr>
          <w:rFonts w:ascii="Times New Roman" w:hAnsi="Times New Roman" w:cs="Times New Roman"/>
          <w:sz w:val="28"/>
          <w:szCs w:val="28"/>
        </w:rPr>
        <w:t>ципальной услуги, перечне документов, необходимых для ее получения, размещается:</w:t>
      </w:r>
    </w:p>
    <w:p w:rsidR="00A20401" w:rsidRPr="0072050E" w:rsidRDefault="00A20401" w:rsidP="00A2040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050E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proofErr w:type="spellStart"/>
      <w:r w:rsidR="00A913B6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7205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sz w:val="28"/>
          <w:szCs w:val="28"/>
        </w:rPr>
        <w:t>К</w:t>
      </w:r>
      <w:r w:rsidR="00A913B6">
        <w:rPr>
          <w:rFonts w:ascii="Times New Roman" w:hAnsi="Times New Roman" w:cs="Times New Roman"/>
          <w:sz w:val="28"/>
          <w:szCs w:val="28"/>
        </w:rPr>
        <w:t>о</w:t>
      </w:r>
      <w:r w:rsidR="00A913B6">
        <w:rPr>
          <w:rFonts w:ascii="Times New Roman" w:hAnsi="Times New Roman" w:cs="Times New Roman"/>
          <w:sz w:val="28"/>
          <w:szCs w:val="28"/>
        </w:rPr>
        <w:t>нышевского</w:t>
      </w:r>
      <w:proofErr w:type="spellEnd"/>
      <w:r w:rsidR="00A91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2050E">
        <w:rPr>
          <w:rFonts w:ascii="Times New Roman" w:hAnsi="Times New Roman" w:cs="Times New Roman"/>
          <w:sz w:val="28"/>
          <w:szCs w:val="28"/>
        </w:rPr>
        <w:t>Курской об</w:t>
      </w:r>
      <w:r w:rsidR="00A913B6">
        <w:rPr>
          <w:rFonts w:ascii="Times New Roman" w:hAnsi="Times New Roman" w:cs="Times New Roman"/>
          <w:sz w:val="28"/>
          <w:szCs w:val="28"/>
        </w:rPr>
        <w:t>ласти (далее - ОМСУ) – (_http://</w:t>
      </w:r>
      <w:proofErr w:type="spellStart"/>
      <w:r w:rsidR="00A913B6">
        <w:rPr>
          <w:rFonts w:ascii="Times New Roman" w:hAnsi="Times New Roman" w:cs="Times New Roman"/>
          <w:sz w:val="28"/>
          <w:szCs w:val="28"/>
          <w:lang w:val="en-US"/>
        </w:rPr>
        <w:t>platavskii</w:t>
      </w:r>
      <w:proofErr w:type="spellEnd"/>
      <w:r w:rsidRPr="007205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05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050E">
        <w:rPr>
          <w:rFonts w:ascii="Times New Roman" w:hAnsi="Times New Roman" w:cs="Times New Roman"/>
          <w:sz w:val="28"/>
          <w:szCs w:val="28"/>
        </w:rPr>
        <w:t xml:space="preserve"> / (далее - официальный сайт);</w:t>
      </w:r>
    </w:p>
    <w:p w:rsidR="00A20401" w:rsidRPr="00946696" w:rsidRDefault="00A20401" w:rsidP="00A20401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rpgu</w:t>
        </w:r>
        <w:proofErr w:type="spellEnd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>) (далее - Региональный портал);</w:t>
      </w:r>
    </w:p>
    <w:p w:rsidR="00A20401" w:rsidRPr="00946696" w:rsidRDefault="00A20401" w:rsidP="00A20401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946696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>) (далее – Федеральный портал).</w:t>
      </w:r>
    </w:p>
    <w:p w:rsidR="00A20401" w:rsidRPr="00946696" w:rsidRDefault="00A20401" w:rsidP="00A2040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Адрес официального сайта МФЦ: www.mfc-kursk.ru.</w:t>
      </w:r>
    </w:p>
    <w:p w:rsidR="00A20401" w:rsidRPr="00946696" w:rsidRDefault="00A20401" w:rsidP="00A2040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Электронная почта МФЦ: mfc@rkursk.ru.</w:t>
      </w:r>
    </w:p>
    <w:p w:rsidR="00A20401" w:rsidRPr="00946696" w:rsidRDefault="00A20401" w:rsidP="00A20401">
      <w:pPr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1.3.4. Информирование заявителей по вопросам предоставления услуги, в том числе о ходе предоставления услуги, проводится путем: ус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ного информирования, письменного информирования (в том числе в эле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тронной форме). </w:t>
      </w:r>
    </w:p>
    <w:p w:rsidR="00A20401" w:rsidRPr="00946696" w:rsidRDefault="00A20401" w:rsidP="00A20401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1.3.5. Информация об услуге, порядке ее оказания предоставляется заявителям на безвозмездной основе.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1.3.6. Информирование заявителей организуется следующим обр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зом: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индивидуальное информирование (устное, письменное);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1.3.7. Индивидуальное устное информирование осуществляется сп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циалистами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при обращении заявителей за 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формацией лично (в том числе по телефону).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946696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сайте</w:t>
        </w:r>
      </w:hyperlink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и на инфо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мационном стенде.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A20401" w:rsidRPr="00946696" w:rsidRDefault="00A20401" w:rsidP="00A20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ный законом срок предоставляется  письменный ответ по существу 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ставленных в устном обращении вопросах.</w:t>
      </w:r>
    </w:p>
    <w:p w:rsidR="00A20401" w:rsidRPr="00946696" w:rsidRDefault="00A20401" w:rsidP="00A20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Если для подготовки ответа требуется продолжительное время, сп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циалист может предложить заявителю обратиться за необходимой инфо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мацией в удобных для него формах и способах повторного консультиров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ния через определенный промежуток времени.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 При отсутствии оч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реди время индивидуального устного информирования не может прев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шать 15 минут.</w:t>
      </w:r>
    </w:p>
    <w:p w:rsidR="00A20401" w:rsidRPr="00946696" w:rsidRDefault="00A20401" w:rsidP="00A20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1.3.8. При ответе на телефонные звонки специалист, сняв трубку, должен сообщить наименование организации, осуществляющей пред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A20401" w:rsidRPr="00946696" w:rsidRDefault="00A20401" w:rsidP="00A20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A20401" w:rsidRPr="00946696" w:rsidRDefault="00A20401" w:rsidP="00A2040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 Пис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менный ответ предоставляется в простой, четкой и понятной форме, при необходимости должен содержать ссылки на соответствующие нормы де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ствующего законодательства Российской Федерации, а также  фамилию, имя, отчество (при наличии) и номер телефона исполнителя.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Письменный ответ по существу поставленных в письменном заявл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нии вопросов направляется заявителю в течение 30 календарных дней со дня его регистрации 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Ответ на заявление, поступившее 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направляется в форме электронного док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696">
        <w:rPr>
          <w:rFonts w:ascii="Times New Roman" w:hAnsi="Times New Roman" w:cs="Times New Roman"/>
          <w:color w:val="000000"/>
          <w:sz w:val="28"/>
          <w:szCs w:val="28"/>
        </w:rPr>
        <w:t>1.3.10. Публичное информирование об услуге и о порядке ее оказ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ния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путем размещения 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формации на информационном стенде в занимаемых ими помещениях, а также с использованием информационно-телекоммуникационных технол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гий, в том числе посредством размещения на официальных сайтах в и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46696">
        <w:rPr>
          <w:rFonts w:ascii="Times New Roman" w:hAnsi="Times New Roman" w:cs="Times New Roman"/>
          <w:color w:val="000000"/>
          <w:sz w:val="28"/>
          <w:szCs w:val="28"/>
        </w:rPr>
        <w:t>формационно - телекоммуникационной сети «Интернет».</w:t>
      </w:r>
    </w:p>
    <w:p w:rsidR="00BE48FA" w:rsidRPr="000929A9" w:rsidRDefault="00BE48FA" w:rsidP="00A2040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Муниципальная услуга предоста</w:t>
      </w:r>
      <w:r w:rsidR="00A20401">
        <w:rPr>
          <w:rFonts w:ascii="Times New Roman" w:hAnsi="Times New Roman" w:cs="Times New Roman"/>
          <w:color w:val="00000A"/>
          <w:sz w:val="28"/>
          <w:szCs w:val="28"/>
        </w:rPr>
        <w:t xml:space="preserve">вляется Администрацией </w:t>
      </w:r>
      <w:proofErr w:type="spellStart"/>
      <w:r w:rsidR="00A913B6">
        <w:rPr>
          <w:rFonts w:ascii="Times New Roman" w:hAnsi="Times New Roman" w:cs="Times New Roman"/>
          <w:color w:val="00000A"/>
          <w:sz w:val="28"/>
          <w:szCs w:val="28"/>
        </w:rPr>
        <w:t>Платавского</w:t>
      </w:r>
      <w:proofErr w:type="spellEnd"/>
      <w:r w:rsidR="00A20401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</w:t>
      </w:r>
      <w:proofErr w:type="spellStart"/>
      <w:r w:rsidR="00A20401">
        <w:rPr>
          <w:rFonts w:ascii="Times New Roman" w:hAnsi="Times New Roman" w:cs="Times New Roman"/>
          <w:color w:val="00000A"/>
          <w:sz w:val="28"/>
          <w:szCs w:val="28"/>
        </w:rPr>
        <w:t>Конышевского</w:t>
      </w:r>
      <w:proofErr w:type="spellEnd"/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ваний, необходимых для получения услуги и связанных с обращением в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lastRenderedPageBreak/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A913B6" w:rsidRPr="00A913B6" w:rsidRDefault="00A913B6" w:rsidP="00A913B6">
      <w:pPr>
        <w:tabs>
          <w:tab w:val="left" w:pos="709"/>
        </w:tabs>
        <w:suppressAutoHyphens/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постановлением Администрации 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Платавского</w:t>
      </w:r>
      <w:proofErr w:type="spellEnd"/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сельсовета </w:t>
      </w:r>
      <w:proofErr w:type="spellStart"/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от </w:t>
      </w:r>
      <w:r w:rsidRPr="00A913B6">
        <w:rPr>
          <w:rFonts w:ascii="Times New Roman" w:hAnsi="Times New Roman" w:cs="Times New Roman"/>
          <w:sz w:val="28"/>
          <w:szCs w:val="28"/>
          <w:lang w:eastAsia="ar-SA"/>
        </w:rPr>
        <w:t>27.06.2012 года № 35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A913B6" w:rsidRPr="00A913B6" w:rsidRDefault="00A913B6" w:rsidP="00A913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        - </w:t>
      </w:r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Платавского</w:t>
      </w:r>
      <w:proofErr w:type="spellEnd"/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A913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913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 05.09.2013 г. N 34-па «О порядке подачи и рассмотрения жалоб на решения и действия  (бездействие) муниципального органа и его должностных лиц, муниципальных служащих  </w:t>
      </w:r>
      <w:proofErr w:type="spellStart"/>
      <w:r w:rsidRPr="00A913B6">
        <w:rPr>
          <w:rFonts w:ascii="Times New Roman" w:hAnsi="Times New Roman" w:cs="Times New Roman"/>
          <w:bCs/>
          <w:sz w:val="28"/>
          <w:szCs w:val="28"/>
          <w:lang w:eastAsia="ar-SA"/>
        </w:rPr>
        <w:t>Платавского</w:t>
      </w:r>
      <w:proofErr w:type="spellEnd"/>
      <w:r w:rsidRPr="00A913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A913B6">
        <w:rPr>
          <w:rFonts w:ascii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A913B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области»</w:t>
      </w:r>
    </w:p>
    <w:p w:rsidR="00A913B6" w:rsidRPr="00A913B6" w:rsidRDefault="00A913B6" w:rsidP="00A913B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Уставом муниципального образования «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Платавский</w:t>
      </w:r>
      <w:proofErr w:type="spellEnd"/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(принят решением  Собрания депутатов  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Платавского</w:t>
      </w:r>
      <w:proofErr w:type="spellEnd"/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A913B6">
        <w:rPr>
          <w:rFonts w:ascii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A913B6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Курской области  от 22 ноября 2010 года № 17, зарегистрированный в Управлении Министерства юстиции Российской Федерации по Курской области 17 декабря 2010 года № 465093262010001, настоящим Регламентом.</w:t>
      </w:r>
      <w:proofErr w:type="gramEnd"/>
    </w:p>
    <w:p w:rsidR="00A20401" w:rsidRPr="00946696" w:rsidRDefault="00A20401" w:rsidP="00A20401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0401" w:rsidRDefault="00A20401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ветствии с нормативными правовыми актами для предоставления услуги, которые находятся в распоряжении государственных органов,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lastRenderedPageBreak/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го предоставлении, принято решение о предварительном согласовании его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рабочими столами и стульями, компьютером с доступом к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администрации района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A913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913B6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 в виде бумажного документа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явитель получает непосредственно при личном обращении,  либо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ный документ направляется заявителю посредством почтового отправл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Примерные формы заявлений в электронной форме размещены  на официальном сайте Администрации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 в виде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заявления предоставляются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заявления в электронной форме, должны быть доступны для просмо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 в виде, пригодном для восприятия человеком, с использованием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вычислительных машин, в том числе без использования сети 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чение пяти рабочих дней со дня получения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ступление зарегистрированного заявления и комплекта документов к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A913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636BE3">
        <w:rPr>
          <w:rFonts w:ascii="Times New Roman" w:hAnsi="Times New Roman" w:cs="Times New Roman"/>
          <w:sz w:val="28"/>
          <w:szCs w:val="28"/>
        </w:rPr>
        <w:t xml:space="preserve">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lastRenderedPageBreak/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обеспечение Администрацией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</w:t>
      </w:r>
      <w:r w:rsidR="00A913B6" w:rsidRPr="00A91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A913B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913B6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представляет вышеуказанные документы Главе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</w:t>
      </w:r>
      <w:r w:rsidR="00350F29" w:rsidRP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</w:t>
      </w:r>
      <w:r w:rsidR="00350F29" w:rsidRP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района и (или) их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</w:t>
      </w:r>
      <w:r w:rsidR="00350F29" w:rsidRP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района, подаются в администрацию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района и рассматриваются непосредственно Главой Администрации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Платавского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350F2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350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A20401" w:rsidRPr="0064655F" w:rsidRDefault="00BE48FA" w:rsidP="00A20401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 официальны</w:t>
      </w:r>
      <w:r w:rsidR="00A2040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й сайт Администрации </w:t>
      </w:r>
      <w:proofErr w:type="spellStart"/>
      <w:r w:rsidR="00A913B6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Платавского</w:t>
      </w:r>
      <w:proofErr w:type="spellEnd"/>
      <w:r w:rsidR="00A2040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proofErr w:type="spellStart"/>
      <w:r w:rsidR="00A2040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Конышевского</w:t>
      </w:r>
      <w:proofErr w:type="spell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</w:t>
      </w:r>
      <w:r w:rsidR="00A20401" w:rsidRPr="00A2040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20401" w:rsidRPr="0064655F">
        <w:rPr>
          <w:rFonts w:ascii="Times New Roman" w:hAnsi="Times New Roman" w:cs="Times New Roman"/>
          <w:sz w:val="28"/>
          <w:szCs w:val="28"/>
          <w:lang w:eastAsia="ar-SA"/>
        </w:rPr>
        <w:t>http://</w:t>
      </w:r>
      <w:proofErr w:type="spellStart"/>
      <w:r w:rsidR="00350F29">
        <w:rPr>
          <w:rFonts w:ascii="Times New Roman" w:hAnsi="Times New Roman" w:cs="Times New Roman"/>
          <w:sz w:val="28"/>
          <w:szCs w:val="28"/>
          <w:lang w:val="en-US" w:eastAsia="ar-SA"/>
        </w:rPr>
        <w:t>platavskii</w:t>
      </w:r>
      <w:bookmarkStart w:id="6" w:name="_GoBack"/>
      <w:bookmarkEnd w:id="6"/>
      <w:proofErr w:type="spellEnd"/>
      <w:r w:rsidR="00A20401" w:rsidRPr="0064655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A20401" w:rsidRPr="0064655F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A20401" w:rsidRPr="0064655F">
        <w:rPr>
          <w:rFonts w:ascii="Times New Roman" w:hAnsi="Times New Roman" w:cs="Times New Roman"/>
          <w:sz w:val="28"/>
          <w:szCs w:val="28"/>
          <w:lang w:eastAsia="ar-SA"/>
        </w:rPr>
        <w:t xml:space="preserve"> / (далее - официальный сайт)</w:t>
      </w:r>
      <w:r w:rsidR="00A20401" w:rsidRPr="0064655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</w:p>
    <w:p w:rsidR="00BE48FA" w:rsidRPr="00412DC0" w:rsidRDefault="00A20401" w:rsidP="00A20401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 федеральной государственной информационной системы  «Единый портал государственных и муниципальных услуг</w:t>
      </w:r>
      <w:r w:rsidR="00BE48FA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="00BE48FA"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A913B6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A913B6" w:rsidRPr="002B5CF3" w:rsidRDefault="00A913B6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A913B6" w:rsidRDefault="00A913B6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A913B6" w:rsidRPr="00231C3E" w:rsidRDefault="00A913B6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A913B6" w:rsidRDefault="00A913B6" w:rsidP="0076338F"/>
              </w:txbxContent>
            </v:textbox>
          </v:shape>
        </w:pict>
      </w:r>
    </w:p>
    <w:p w:rsidR="00BE48FA" w:rsidRPr="003A4528" w:rsidRDefault="00A913B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A913B6" w:rsidRPr="00BE07D1" w:rsidRDefault="00A913B6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A913B6" w:rsidRPr="00BE07D1" w:rsidRDefault="00A913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A913B6" w:rsidRPr="00BE07D1" w:rsidRDefault="00A913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A913B6" w:rsidRPr="00BE07D1" w:rsidRDefault="00A913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A913B6" w:rsidRPr="00BE07D1" w:rsidRDefault="00A913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A913B6" w:rsidRPr="00BE07D1" w:rsidRDefault="00A913B6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A913B6" w:rsidRPr="00BE07D1" w:rsidRDefault="00A913B6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A913B6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A913B6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A913B6" w:rsidRPr="001F2F5C" w:rsidRDefault="00A913B6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A913B6" w:rsidRDefault="00A913B6" w:rsidP="00B96A5A"/>
                <w:p w:rsidR="00A913B6" w:rsidRDefault="00A913B6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lastRenderedPageBreak/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E48FA" w:rsidRPr="003A4528" w:rsidRDefault="00A913B6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proofErr w:type="gramStart"/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footerReference w:type="default" r:id="rId44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B6" w:rsidRDefault="00A913B6" w:rsidP="00C14FF5">
      <w:pPr>
        <w:spacing w:after="0" w:line="240" w:lineRule="auto"/>
      </w:pPr>
      <w:r>
        <w:separator/>
      </w:r>
    </w:p>
  </w:endnote>
  <w:endnote w:type="continuationSeparator" w:id="0">
    <w:p w:rsidR="00A913B6" w:rsidRDefault="00A913B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B6" w:rsidRDefault="00A913B6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B6" w:rsidRDefault="00A913B6" w:rsidP="00C14FF5">
      <w:pPr>
        <w:spacing w:after="0" w:line="240" w:lineRule="auto"/>
      </w:pPr>
      <w:r>
        <w:separator/>
      </w:r>
    </w:p>
  </w:footnote>
  <w:footnote w:type="continuationSeparator" w:id="0">
    <w:p w:rsidR="00A913B6" w:rsidRDefault="00A913B6" w:rsidP="00C14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0F29"/>
    <w:rsid w:val="003526FD"/>
    <w:rsid w:val="0035453B"/>
    <w:rsid w:val="00355356"/>
    <w:rsid w:val="0035584D"/>
    <w:rsid w:val="003618B8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040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13B6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0EAF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296C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No Spacing"/>
    <w:qFormat/>
    <w:rsid w:val="00A20401"/>
    <w:pPr>
      <w:tabs>
        <w:tab w:val="left" w:pos="709"/>
      </w:tabs>
      <w:suppressAutoHyphens/>
    </w:pPr>
    <w:rPr>
      <w:rFonts w:eastAsia="Arial" w:cs="Calibri"/>
      <w:color w:val="00000A"/>
      <w:kern w:val="1"/>
      <w:lang w:eastAsia="ar-SA"/>
    </w:rPr>
  </w:style>
  <w:style w:type="paragraph" w:customStyle="1" w:styleId="11">
    <w:name w:val="Абзац списка1"/>
    <w:rsid w:val="00A20401"/>
    <w:pPr>
      <w:widowControl w:val="0"/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39</Pages>
  <Words>13768</Words>
  <Characters>78482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Платавский</cp:lastModifiedBy>
  <cp:revision>57</cp:revision>
  <cp:lastPrinted>2016-01-28T12:32:00Z</cp:lastPrinted>
  <dcterms:created xsi:type="dcterms:W3CDTF">2015-11-05T07:57:00Z</dcterms:created>
  <dcterms:modified xsi:type="dcterms:W3CDTF">2016-12-26T13:32:00Z</dcterms:modified>
</cp:coreProperties>
</file>